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АННОТАЦИЯ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8"/>
        <w:jc w:val="both"/>
        <w:spacing w:after="0" w:line="0" w:lineRule="atLeast"/>
      </w:pPr>
      <w:r>
        <w:rPr>
          <w:rFonts w:ascii="Times New Roman" w:hAnsi="Times New Roman" w:eastAsia="Times New Roman"/>
          <w:sz w:val="28"/>
        </w:rPr>
        <w:t xml:space="preserve">Рабочая программа по предмету «Химия» для 8 класса (повышенный уровень)</w:t>
      </w:r>
      <w:r>
        <w:rPr>
          <w:rFonts w:ascii="Times New Roman" w:hAnsi="Times New Roman"/>
          <w:sz w:val="24"/>
          <w:szCs w:val="24"/>
        </w:rPr>
        <w:t xml:space="preserve"> составлена   в соответствии с осно</w:t>
      </w:r>
      <w:r>
        <w:rPr>
          <w:rFonts w:ascii="Times New Roman" w:hAnsi="Times New Roman"/>
          <w:sz w:val="24"/>
          <w:szCs w:val="24"/>
        </w:rPr>
        <w:t xml:space="preserve">вными положениями Федерального государственного стандарта основного общего образования на основе программы О.С. Габриеляна, С.А. Сладкова для предметной линии учебников О.С. Габриеляна, И.Г. Остроумова, С.А. Сладкова. 8 – 9 классы. – М.: Просвещение, 2019.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598"/>
        <w:ind w:firstLine="708"/>
        <w:jc w:val="both"/>
        <w:spacing w:after="0" w:line="0" w:lineRule="atLeast"/>
      </w:pPr>
      <w:r>
        <w:rPr>
          <w:rFonts w:ascii="Times New Roman" w:hAnsi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/>
          <w:i/>
          <w:sz w:val="28"/>
        </w:rPr>
        <w:t xml:space="preserve">химии</w:t>
      </w:r>
      <w:r>
        <w:rPr>
          <w:rFonts w:ascii="Times New Roman" w:hAnsi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/>
          <w:i/>
          <w:sz w:val="28"/>
        </w:rPr>
        <w:t xml:space="preserve">целей</w:t>
      </w:r>
      <w:r>
        <w:rPr>
          <w:rFonts w:ascii="Times New Roman" w:hAnsi="Times New Roman" w:eastAsia="Times New Roman"/>
          <w:sz w:val="28"/>
        </w:rPr>
        <w:t xml:space="preserve">: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- Формирование у учащихся химической картины мира, как органической части его целостной естественно-научной картины.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- 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</w:t>
      </w:r>
      <w:r>
        <w:rPr>
          <w:rFonts w:ascii="Times New Roman" w:hAnsi="Times New Roman" w:eastAsia="Times New Roman"/>
          <w:sz w:val="28"/>
        </w:rPr>
        <w:t xml:space="preserve">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- 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- Проектирование и реализация обучающимися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  <w:t xml:space="preserve">- Овладение ключевыми компетенциями: учебно-познавательными, информационными, ценностно-смысловыми, коммуникативными.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598"/>
        <w:jc w:val="both"/>
        <w:spacing w:after="0" w:line="0" w:lineRule="atLeast"/>
      </w:pPr>
      <w:r>
        <w:rPr>
          <w:rFonts w:ascii="Times New Roman" w:hAnsi="Times New Roman" w:eastAsia="Times New Roman"/>
          <w:sz w:val="28"/>
          <w:szCs w:val="28"/>
        </w:rPr>
        <w:t xml:space="preserve">Используемый учебник: </w:t>
      </w:r>
      <w:r>
        <w:rPr>
          <w:rFonts w:ascii="Times New Roman" w:hAnsi="Times New Roman"/>
          <w:sz w:val="28"/>
          <w:szCs w:val="28"/>
        </w:rPr>
        <w:t xml:space="preserve">Габриелян O. C. Химия. 8 класс: учебник для общеобразовательных организаций / О. С. Габриелян, И. Г. Остроумов, С. А. Сладков. — М.: Просвещение, 2020г.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</w:rPr>
        <w:t xml:space="preserve"> Согласно учебному плану МБОУ «СШ № 72» на изучение учебного предмета «Химия» (повышенный уровень) в 8 классе за весь период обучения выделяется 102 часа (3часа в неделю). 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598"/>
        <w:spacing w:after="160" w:line="259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spacing w:after="160" w:line="259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2023-01-13T07:53:14Z</dcterms:modified>
</cp:coreProperties>
</file>