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tabs>
          <w:tab w:val="left" w:pos="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программа по предмету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для 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примерной программы основного общего образования по курсу «Основы безопасности жизнедеятельности» образовательной области «Безопасность» и авторской программы курса «Основы безопасности жиз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недеятельности» для учащихся 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классов общеобразовательных учреждений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Министерство просвещения Российской Федерации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России) от 28 декабря 2018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 Министерства образования и науки Российской Федерации от 31 марта 2014 г. № 253 «О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внесенными приказами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обр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азования и науки Российской Федерации от 08 июля 2015 г. № 576, от 28 декабря 2015 г. № 1529, от 26 января 2016 г. № 38, от 21 апреля 2016 г. № 459, от 29 декабря 2016 г. № 1677, от 08 июня 2017 г. № 535, от 20 июня 2017 г. № 581, от 05 июля 2017 г. № 629.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освоение  знаний о здоровом образе жизни; об опасных и чрезвычайных ситуациях и основах безопасной жизнедеятельности;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воспитание ответственности за личную безопасность и безопасность окружающих, ценностного отношения к своему здоровью и жизни;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овладение умениями определять потенциальные опасности и правильно действовать в случае их наступления, использовать средства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индивидуальной и коллективной защиты, оказывать первую медицинскую помощь. 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360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Используемый учебник: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ОБЖ Учебник для общеобразовательных учреждений. 11 класс Авторы-составители: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Э.Н.Аюбов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Д.З.Прищепов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М.В.Муркова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А.Ю. Тараканов (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М.Русское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слово 2021).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учебному плану МБОУ «СШ № 72» на изучение учебного предмета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классе за весь период обучения выделяе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 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 в неделю).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2023-01-11T06:59:15Z</dcterms:modified>
</cp:coreProperties>
</file>